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064" w:rsidRPr="00E96064" w:rsidRDefault="00E96064" w:rsidP="00E9606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ATTACHMENT A</w:t>
      </w:r>
      <w:bookmarkStart w:id="0" w:name="_GoBack"/>
      <w:bookmarkEnd w:id="0"/>
    </w:p>
    <w:p w:rsidR="00FC0895" w:rsidRDefault="00FC0895">
      <w:r>
        <w:t>Sep 22, 2015</w:t>
      </w:r>
    </w:p>
    <w:p w:rsidR="00FC0895" w:rsidRDefault="00FC0895">
      <w:r>
        <w:t>To: Tony Zertuche</w:t>
      </w:r>
    </w:p>
    <w:p w:rsidR="00FC0895" w:rsidRDefault="00FC0895">
      <w:r>
        <w:t>CC: Alec McMillan</w:t>
      </w:r>
    </w:p>
    <w:p w:rsidR="00E216C6" w:rsidRDefault="00EF271C">
      <w:r>
        <w:t xml:space="preserve">Re: Action item #1: </w:t>
      </w:r>
      <w:r w:rsidR="00CC19B4" w:rsidRPr="00CC19B4">
        <w:t>Mr. Manole was asked to develop some wording on the perceived issue of a violation of the Dresden Agreement for submission by the USNC Office to CEN/CENELEC for their review.</w:t>
      </w:r>
    </w:p>
    <w:p w:rsidR="004C488A" w:rsidRDefault="004C488A" w:rsidP="00FD7EC6"/>
    <w:p w:rsidR="00BA775A" w:rsidRPr="002D1FC6" w:rsidRDefault="00436A0F" w:rsidP="00FD7EC6">
      <w:pPr>
        <w:rPr>
          <w:b/>
        </w:rPr>
      </w:pPr>
      <w:r w:rsidRPr="002D1FC6">
        <w:rPr>
          <w:b/>
        </w:rPr>
        <w:t>Report on a perceived issue of a violation of the Dresden Agreement</w:t>
      </w:r>
    </w:p>
    <w:p w:rsidR="004C488A" w:rsidRDefault="004C488A" w:rsidP="004C488A">
      <w:r>
        <w:t xml:space="preserve">CEN held a workshop on </w:t>
      </w:r>
      <w:r w:rsidRPr="004C488A">
        <w:t>July 2014</w:t>
      </w:r>
      <w:r>
        <w:t xml:space="preserve"> </w:t>
      </w:r>
      <w:r w:rsidR="00B63E9B">
        <w:t>for</w:t>
      </w:r>
      <w:r>
        <w:t xml:space="preserve"> discuss</w:t>
      </w:r>
      <w:r w:rsidR="00B63E9B">
        <w:t>ing</w:t>
      </w:r>
      <w:r>
        <w:t xml:space="preserve"> the </w:t>
      </w:r>
      <w:r w:rsidR="002D1447">
        <w:t>issue</w:t>
      </w:r>
      <w:r>
        <w:t xml:space="preserve"> that the application of regulatory frameworks such as REACH and </w:t>
      </w:r>
      <w:proofErr w:type="spellStart"/>
      <w:r>
        <w:t>RoHS</w:t>
      </w:r>
      <w:proofErr w:type="spellEnd"/>
      <w:r>
        <w:t xml:space="preserve"> varies from one country to the other within a global context. For example</w:t>
      </w:r>
      <w:r w:rsidR="00D13919">
        <w:t>,</w:t>
      </w:r>
      <w:r>
        <w:t xml:space="preserve"> the threshold values applied to substances (and/or articles) differ at a national level (for example China implemented </w:t>
      </w:r>
      <w:proofErr w:type="spellStart"/>
      <w:r>
        <w:t>RoHS</w:t>
      </w:r>
      <w:proofErr w:type="spellEnd"/>
      <w:r>
        <w:t xml:space="preserve"> but used different threshold values from Europe).  </w:t>
      </w:r>
    </w:p>
    <w:p w:rsidR="00D6294D" w:rsidRDefault="006207BC" w:rsidP="00D6294D">
      <w:r>
        <w:t>T</w:t>
      </w:r>
      <w:r w:rsidR="004C488A">
        <w:t>he</w:t>
      </w:r>
      <w:r>
        <w:t xml:space="preserve"> </w:t>
      </w:r>
      <w:r w:rsidR="005E0F4D">
        <w:t xml:space="preserve">conclusions of the </w:t>
      </w:r>
      <w:r>
        <w:t>CEN</w:t>
      </w:r>
      <w:r w:rsidR="004C488A">
        <w:t xml:space="preserve"> workshop </w:t>
      </w:r>
      <w:r w:rsidR="003C78BE">
        <w:t xml:space="preserve">prompted CAN SABE to initiate the development of a "Roadmap on the </w:t>
      </w:r>
      <w:r w:rsidR="003C78BE" w:rsidRPr="00FD7EC6">
        <w:t>EU standardization on regulated substances in articles</w:t>
      </w:r>
      <w:r w:rsidR="00D6294D">
        <w:t>".  For the development of the roadmap, an ad hoc Project Committee is being formed within CEN.</w:t>
      </w:r>
    </w:p>
    <w:p w:rsidR="008E41B3" w:rsidRDefault="008E41B3" w:rsidP="008E41B3">
      <w:r>
        <w:t>The roadmap activities include:</w:t>
      </w:r>
    </w:p>
    <w:p w:rsidR="003B06A2" w:rsidRDefault="008E41B3" w:rsidP="00764DC5">
      <w:pPr>
        <w:pStyle w:val="ListParagraph"/>
        <w:numPr>
          <w:ilvl w:val="0"/>
          <w:numId w:val="2"/>
        </w:numPr>
      </w:pPr>
      <w:r w:rsidRPr="000D1FC9">
        <w:t>Establish a list of existing chemical / analytical methods used to identify and determine the concentration of substances in articles;</w:t>
      </w:r>
    </w:p>
    <w:p w:rsidR="008E41B3" w:rsidRDefault="00E71EE1" w:rsidP="00B73383">
      <w:pPr>
        <w:pStyle w:val="ListParagraph"/>
        <w:numPr>
          <w:ilvl w:val="0"/>
          <w:numId w:val="2"/>
        </w:numPr>
      </w:pPr>
      <w:r>
        <w:t>Developing a</w:t>
      </w:r>
      <w:r w:rsidR="009D70FC">
        <w:t xml:space="preserve">n </w:t>
      </w:r>
      <w:r w:rsidR="009D70FC" w:rsidRPr="009D70FC">
        <w:t>European standard on material declaration</w:t>
      </w:r>
      <w:r w:rsidR="009D70FC">
        <w:t xml:space="preserve"> that</w:t>
      </w:r>
      <w:r>
        <w:t xml:space="preserve"> </w:t>
      </w:r>
      <w:r w:rsidR="009D70FC">
        <w:t xml:space="preserve">would describe a </w:t>
      </w:r>
      <w:r w:rsidR="008E41B3">
        <w:t>Standardized Material Declaration sheet</w:t>
      </w:r>
      <w:r w:rsidR="009D70FC">
        <w:t xml:space="preserve"> </w:t>
      </w:r>
      <w:r w:rsidR="0062195E">
        <w:t xml:space="preserve">as a basis for </w:t>
      </w:r>
      <w:r w:rsidR="0062195E" w:rsidRPr="0062195E">
        <w:t>Drafting and publication of an EN</w:t>
      </w:r>
    </w:p>
    <w:p w:rsidR="008E41B3" w:rsidRDefault="008E41B3" w:rsidP="00B73383">
      <w:pPr>
        <w:pStyle w:val="ListParagraph"/>
        <w:numPr>
          <w:ilvl w:val="0"/>
          <w:numId w:val="2"/>
        </w:numPr>
      </w:pPr>
      <w:r>
        <w:t>General standardized methods to determine the content of substances in articles (or in waste)</w:t>
      </w:r>
    </w:p>
    <w:p w:rsidR="00C12860" w:rsidRDefault="00C12860" w:rsidP="008E41B3"/>
    <w:p w:rsidR="00C12860" w:rsidRDefault="00C12860" w:rsidP="008E41B3">
      <w:r w:rsidRPr="00B73383">
        <w:rPr>
          <w:b/>
        </w:rPr>
        <w:t>Issues</w:t>
      </w:r>
      <w:r>
        <w:t>:</w:t>
      </w:r>
    </w:p>
    <w:p w:rsidR="001266E6" w:rsidRDefault="00357336" w:rsidP="00B73383">
      <w:pPr>
        <w:pStyle w:val="ListParagraph"/>
        <w:numPr>
          <w:ilvl w:val="0"/>
          <w:numId w:val="3"/>
        </w:numPr>
      </w:pPr>
      <w:r>
        <w:t xml:space="preserve">CEN SAEB acknowledges inconsistencies among the </w:t>
      </w:r>
      <w:r w:rsidRPr="00E5171A">
        <w:t xml:space="preserve">application of regulatory frameworks such as REACH and </w:t>
      </w:r>
      <w:proofErr w:type="spellStart"/>
      <w:r w:rsidRPr="00E5171A">
        <w:t>RoHS</w:t>
      </w:r>
      <w:proofErr w:type="spellEnd"/>
      <w:r>
        <w:t xml:space="preserve"> across the world</w:t>
      </w:r>
      <w:r w:rsidR="00EC66E3">
        <w:t>.  However,</w:t>
      </w:r>
      <w:r>
        <w:t xml:space="preserve"> CEN seeks to</w:t>
      </w:r>
      <w:r w:rsidR="00EC66E3">
        <w:t xml:space="preserve"> find a solution to all of those inconsistencies by developing European standards for the global programs.</w:t>
      </w:r>
      <w:r>
        <w:t xml:space="preserve"> </w:t>
      </w:r>
      <w:r w:rsidR="00895736">
        <w:t xml:space="preserve">Additionally, </w:t>
      </w:r>
      <w:r w:rsidR="00C27C1E">
        <w:t>b</w:t>
      </w:r>
      <w:r>
        <w:t xml:space="preserve">ased on the information provided to the IEC ACEE by the European members, CEN SABE and </w:t>
      </w:r>
      <w:r w:rsidRPr="00764DC5">
        <w:rPr>
          <w:lang w:val="en"/>
        </w:rPr>
        <w:t xml:space="preserve">CENELEC TC 111X "Environment" </w:t>
      </w:r>
      <w:r w:rsidRPr="00CC19B4">
        <w:t>TC 111X</w:t>
      </w:r>
      <w:r>
        <w:t xml:space="preserve"> have decided to ignore the IEC standards in the Roadmap activities.  </w:t>
      </w:r>
    </w:p>
    <w:p w:rsidR="00211613" w:rsidRDefault="00211613" w:rsidP="00B73383">
      <w:pPr>
        <w:pStyle w:val="ListParagraph"/>
        <w:numPr>
          <w:ilvl w:val="0"/>
          <w:numId w:val="3"/>
        </w:numPr>
      </w:pPr>
      <w:r>
        <w:t xml:space="preserve">It is true that CEN/CENELEC </w:t>
      </w:r>
      <w:r w:rsidR="00EA75DF">
        <w:t>is an EU organization</w:t>
      </w:r>
      <w:r w:rsidR="000D374D">
        <w:t>,</w:t>
      </w:r>
      <w:r w:rsidR="00EA75DF">
        <w:t xml:space="preserve"> </w:t>
      </w:r>
      <w:r w:rsidR="00C040F9">
        <w:t>thus it is fair to</w:t>
      </w:r>
      <w:r>
        <w:t xml:space="preserve"> </w:t>
      </w:r>
      <w:r w:rsidR="00C040F9">
        <w:t xml:space="preserve">limit the scope of its activities to </w:t>
      </w:r>
      <w:r>
        <w:t xml:space="preserve">reviewing the EU requirements (e.g. the list of </w:t>
      </w:r>
      <w:r w:rsidR="00750EE9">
        <w:t xml:space="preserve">EU </w:t>
      </w:r>
      <w:r w:rsidR="00750EE9" w:rsidRPr="00750EE9">
        <w:t>Substances of Very High Concern</w:t>
      </w:r>
      <w:r w:rsidR="00750EE9">
        <w:t>)</w:t>
      </w:r>
      <w:r w:rsidR="00B43C8B">
        <w:t xml:space="preserve">.  However, </w:t>
      </w:r>
      <w:r w:rsidR="002B45BE">
        <w:t xml:space="preserve">a new EU </w:t>
      </w:r>
      <w:r w:rsidR="004131FB" w:rsidRPr="00F7642C">
        <w:t>standard on material declaration</w:t>
      </w:r>
      <w:r w:rsidR="004131FB">
        <w:t xml:space="preserve"> </w:t>
      </w:r>
      <w:r w:rsidR="001B0CE8">
        <w:t>developed by CEN/CENLEC</w:t>
      </w:r>
      <w:r w:rsidR="00555D75">
        <w:t xml:space="preserve"> by ignoring non-EU standards </w:t>
      </w:r>
      <w:r w:rsidR="004131FB">
        <w:t>may conflict with the IEC standard</w:t>
      </w:r>
      <w:r w:rsidR="001D2E81">
        <w:t xml:space="preserve"> and standard development initi</w:t>
      </w:r>
      <w:r w:rsidR="00B00B9F">
        <w:t>a</w:t>
      </w:r>
      <w:r w:rsidR="001D2E81">
        <w:t>tives.</w:t>
      </w:r>
    </w:p>
    <w:p w:rsidR="00600DA2" w:rsidRDefault="00600DA2" w:rsidP="00B73383">
      <w:pPr>
        <w:pStyle w:val="ListParagraph"/>
        <w:numPr>
          <w:ilvl w:val="0"/>
          <w:numId w:val="3"/>
        </w:numPr>
      </w:pPr>
      <w:r>
        <w:t>IEC 62474 "</w:t>
      </w:r>
      <w:r w:rsidRPr="00600DA2">
        <w:t>Material Declaration for Products of and for the Electrotechnical Industry</w:t>
      </w:r>
      <w:r>
        <w:t xml:space="preserve">" provides </w:t>
      </w:r>
      <w:r w:rsidR="001D1FBC">
        <w:t xml:space="preserve">a </w:t>
      </w:r>
      <w:r w:rsidR="00307124">
        <w:t>s</w:t>
      </w:r>
      <w:r w:rsidR="001D1FBC" w:rsidRPr="00600DA2">
        <w:t>tandard</w:t>
      </w:r>
      <w:r w:rsidR="001D1FBC">
        <w:t xml:space="preserve">ized </w:t>
      </w:r>
      <w:r w:rsidR="00307124">
        <w:t>m</w:t>
      </w:r>
      <w:r w:rsidR="001D1FBC">
        <w:t xml:space="preserve">aterial </w:t>
      </w:r>
      <w:r w:rsidR="00307124">
        <w:t>d</w:t>
      </w:r>
      <w:r w:rsidR="001D1FBC">
        <w:t>eclaration sheet.</w:t>
      </w:r>
      <w:r w:rsidR="001A0438">
        <w:t xml:space="preserve">  IPC-1752A "Materials Declaration Management" is another </w:t>
      </w:r>
      <w:r w:rsidR="00F13C2A" w:rsidRPr="001A0438">
        <w:t xml:space="preserve">standard used </w:t>
      </w:r>
      <w:r w:rsidR="001A0438" w:rsidRPr="001A0438">
        <w:t xml:space="preserve">widely in the </w:t>
      </w:r>
      <w:r w:rsidR="000D0B1C">
        <w:t>electrotechnical i</w:t>
      </w:r>
      <w:r w:rsidR="001A0438" w:rsidRPr="001A0438">
        <w:t>ndustry</w:t>
      </w:r>
      <w:r w:rsidR="00E87C3A">
        <w:t xml:space="preserve"> that provides a </w:t>
      </w:r>
      <w:r w:rsidR="00E87C3A" w:rsidRPr="00600DA2">
        <w:t>Standard</w:t>
      </w:r>
      <w:r w:rsidR="00E87C3A">
        <w:t xml:space="preserve">ized </w:t>
      </w:r>
      <w:r w:rsidR="00307124">
        <w:lastRenderedPageBreak/>
        <w:t>m</w:t>
      </w:r>
      <w:r w:rsidR="00E87C3A">
        <w:t xml:space="preserve">aterial </w:t>
      </w:r>
      <w:r w:rsidR="00307124">
        <w:t>d</w:t>
      </w:r>
      <w:r w:rsidR="00E87C3A">
        <w:t>eclaration sheet</w:t>
      </w:r>
      <w:r w:rsidR="00C046CA">
        <w:t xml:space="preserve">.  </w:t>
      </w:r>
      <w:r w:rsidR="005F41DC">
        <w:t>IEC and IPC are a</w:t>
      </w:r>
      <w:r w:rsidR="00993D62">
        <w:t>ctively working on reducing</w:t>
      </w:r>
      <w:r w:rsidR="005F41DC">
        <w:t xml:space="preserve"> </w:t>
      </w:r>
      <w:r w:rsidR="00993D62">
        <w:t>some incompatibilities</w:t>
      </w:r>
      <w:r w:rsidR="005F41DC">
        <w:t xml:space="preserve"> </w:t>
      </w:r>
      <w:r w:rsidR="00AF78A6">
        <w:t xml:space="preserve">between the two </w:t>
      </w:r>
      <w:r w:rsidR="00307124">
        <w:t>m</w:t>
      </w:r>
      <w:r w:rsidR="00AF78A6" w:rsidRPr="00600DA2">
        <w:t xml:space="preserve">aterial </w:t>
      </w:r>
      <w:r w:rsidR="00307124">
        <w:t>d</w:t>
      </w:r>
      <w:r w:rsidR="00AF78A6" w:rsidRPr="00600DA2">
        <w:t>eclaration</w:t>
      </w:r>
      <w:r w:rsidR="00AF78A6">
        <w:t xml:space="preserve"> standards</w:t>
      </w:r>
      <w:r w:rsidR="008D7F22">
        <w:t>' databases and material declaration.</w:t>
      </w:r>
      <w:r w:rsidR="00B4280B">
        <w:t xml:space="preserve">  </w:t>
      </w:r>
      <w:r w:rsidR="00A91A35">
        <w:t>A</w:t>
      </w:r>
      <w:r w:rsidR="005C60BC">
        <w:t xml:space="preserve"> </w:t>
      </w:r>
      <w:r w:rsidR="00B4280B">
        <w:t>CEN/CENELEC</w:t>
      </w:r>
      <w:r w:rsidR="00993D62">
        <w:t xml:space="preserve"> </w:t>
      </w:r>
      <w:r w:rsidR="005C60BC" w:rsidRPr="009D70FC">
        <w:t>European standard on material declaration</w:t>
      </w:r>
      <w:r w:rsidR="00980102">
        <w:t xml:space="preserve"> would not only</w:t>
      </w:r>
      <w:r w:rsidR="00217958">
        <w:t xml:space="preserve"> duplicate and conflict with th</w:t>
      </w:r>
      <w:r w:rsidR="00980102">
        <w:t>e IEC 62474 standard but</w:t>
      </w:r>
      <w:r w:rsidR="003111FA">
        <w:t xml:space="preserve"> will </w:t>
      </w:r>
      <w:r w:rsidR="00FF6809">
        <w:t xml:space="preserve">create </w:t>
      </w:r>
      <w:r w:rsidR="008A1E84">
        <w:t>chall</w:t>
      </w:r>
      <w:r w:rsidR="000D0B1C">
        <w:t>e</w:t>
      </w:r>
      <w:r w:rsidR="008A1E84">
        <w:t>nges</w:t>
      </w:r>
      <w:r w:rsidR="00FF6809">
        <w:t xml:space="preserve"> for any </w:t>
      </w:r>
      <w:r w:rsidR="008A1E84">
        <w:t>e</w:t>
      </w:r>
      <w:r w:rsidR="00FF6809" w:rsidRPr="001A0438">
        <w:t>lectrotechnical</w:t>
      </w:r>
      <w:r w:rsidR="00FF6809">
        <w:t xml:space="preserve"> manufacturer that sells in the EU market </w:t>
      </w:r>
      <w:r w:rsidR="00AC6373">
        <w:t xml:space="preserve">products that are in compliances with </w:t>
      </w:r>
      <w:r w:rsidR="00FF6809">
        <w:t>either IEC 62474 or IPC-1752A.</w:t>
      </w:r>
    </w:p>
    <w:p w:rsidR="00217958" w:rsidRPr="00B73383" w:rsidRDefault="00050CF2" w:rsidP="001A0438">
      <w:pPr>
        <w:rPr>
          <w:b/>
        </w:rPr>
      </w:pPr>
      <w:r w:rsidRPr="00B73383">
        <w:rPr>
          <w:b/>
        </w:rPr>
        <w:t>Recommendations</w:t>
      </w:r>
    </w:p>
    <w:p w:rsidR="00937AB2" w:rsidRDefault="00F9584F" w:rsidP="00BF0A33">
      <w:pPr>
        <w:pStyle w:val="ListParagraph"/>
        <w:numPr>
          <w:ilvl w:val="0"/>
          <w:numId w:val="4"/>
        </w:numPr>
      </w:pPr>
      <w:r>
        <w:t xml:space="preserve">IEC SMB </w:t>
      </w:r>
      <w:r w:rsidR="00400912">
        <w:t>should</w:t>
      </w:r>
      <w:r>
        <w:t xml:space="preserve"> </w:t>
      </w:r>
      <w:r w:rsidR="00973A20" w:rsidRPr="00973A20">
        <w:t xml:space="preserve">confer </w:t>
      </w:r>
      <w:r>
        <w:t xml:space="preserve">with CEN on </w:t>
      </w:r>
      <w:r w:rsidR="008F06FC">
        <w:t xml:space="preserve">the potential conflict between the planned CEN/CENELEC </w:t>
      </w:r>
      <w:r w:rsidR="008F06FC" w:rsidRPr="009D70FC">
        <w:t>European standard on material declaration</w:t>
      </w:r>
      <w:r w:rsidR="000253F1">
        <w:t xml:space="preserve"> and IEC 62474</w:t>
      </w:r>
      <w:r w:rsidR="00595BF9">
        <w:t xml:space="preserve">.  </w:t>
      </w:r>
    </w:p>
    <w:p w:rsidR="00600DA2" w:rsidRDefault="00595BF9" w:rsidP="00BF0A33">
      <w:pPr>
        <w:pStyle w:val="ListParagraph"/>
        <w:numPr>
          <w:ilvl w:val="0"/>
          <w:numId w:val="4"/>
        </w:numPr>
      </w:pPr>
      <w:r>
        <w:t xml:space="preserve">IEC SMB and CEN/CENELEC should negotiate on developing international standards addressing </w:t>
      </w:r>
      <w:r w:rsidRPr="00595BF9">
        <w:t xml:space="preserve">inconsistencies among the application of regulatory frameworks such as REACH and </w:t>
      </w:r>
      <w:proofErr w:type="spellStart"/>
      <w:r w:rsidRPr="00595BF9">
        <w:t>RoHS</w:t>
      </w:r>
      <w:proofErr w:type="spellEnd"/>
      <w:r>
        <w:t xml:space="preserve"> within IEC.</w:t>
      </w:r>
    </w:p>
    <w:p w:rsidR="00CC19B4" w:rsidRDefault="00CC19B4" w:rsidP="003B5650"/>
    <w:sectPr w:rsidR="00CC1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45A9"/>
    <w:multiLevelType w:val="hybridMultilevel"/>
    <w:tmpl w:val="7388A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791108"/>
    <w:multiLevelType w:val="hybridMultilevel"/>
    <w:tmpl w:val="2946B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841C23"/>
    <w:multiLevelType w:val="hybridMultilevel"/>
    <w:tmpl w:val="6024C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1B730D"/>
    <w:multiLevelType w:val="hybridMultilevel"/>
    <w:tmpl w:val="D9C045BC"/>
    <w:lvl w:ilvl="0" w:tplc="99C239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9B4"/>
    <w:rsid w:val="00006BA9"/>
    <w:rsid w:val="000253F1"/>
    <w:rsid w:val="00050CF2"/>
    <w:rsid w:val="00070627"/>
    <w:rsid w:val="00076A80"/>
    <w:rsid w:val="000D0B1C"/>
    <w:rsid w:val="000D1FC9"/>
    <w:rsid w:val="000D374D"/>
    <w:rsid w:val="00100BF5"/>
    <w:rsid w:val="00115654"/>
    <w:rsid w:val="001266E6"/>
    <w:rsid w:val="0012796B"/>
    <w:rsid w:val="001308C1"/>
    <w:rsid w:val="0019408D"/>
    <w:rsid w:val="001A0438"/>
    <w:rsid w:val="001B0CE8"/>
    <w:rsid w:val="001B6F2A"/>
    <w:rsid w:val="001D1FBC"/>
    <w:rsid w:val="001D2E81"/>
    <w:rsid w:val="001F0B73"/>
    <w:rsid w:val="00211613"/>
    <w:rsid w:val="0021434D"/>
    <w:rsid w:val="00217958"/>
    <w:rsid w:val="00225C11"/>
    <w:rsid w:val="00242D91"/>
    <w:rsid w:val="00254531"/>
    <w:rsid w:val="00256A2A"/>
    <w:rsid w:val="002A4D09"/>
    <w:rsid w:val="002B45BE"/>
    <w:rsid w:val="002C6B48"/>
    <w:rsid w:val="002D143F"/>
    <w:rsid w:val="002D1447"/>
    <w:rsid w:val="002D1FC6"/>
    <w:rsid w:val="002D4C10"/>
    <w:rsid w:val="002E5A95"/>
    <w:rsid w:val="003032B1"/>
    <w:rsid w:val="00306B95"/>
    <w:rsid w:val="00307124"/>
    <w:rsid w:val="003078CA"/>
    <w:rsid w:val="003111FA"/>
    <w:rsid w:val="00357336"/>
    <w:rsid w:val="00361D38"/>
    <w:rsid w:val="003A694C"/>
    <w:rsid w:val="003B06A2"/>
    <w:rsid w:val="003B5650"/>
    <w:rsid w:val="003B7B29"/>
    <w:rsid w:val="003C78BE"/>
    <w:rsid w:val="00400912"/>
    <w:rsid w:val="00405BBC"/>
    <w:rsid w:val="00405D6E"/>
    <w:rsid w:val="004131FB"/>
    <w:rsid w:val="0043302C"/>
    <w:rsid w:val="00436A0F"/>
    <w:rsid w:val="00444EEC"/>
    <w:rsid w:val="004B70EB"/>
    <w:rsid w:val="004C488A"/>
    <w:rsid w:val="004F088E"/>
    <w:rsid w:val="00555D75"/>
    <w:rsid w:val="00591E58"/>
    <w:rsid w:val="00595BF9"/>
    <w:rsid w:val="005C60BC"/>
    <w:rsid w:val="005E0F4D"/>
    <w:rsid w:val="005F41DC"/>
    <w:rsid w:val="005F7B30"/>
    <w:rsid w:val="00600DA2"/>
    <w:rsid w:val="006207BC"/>
    <w:rsid w:val="0062195E"/>
    <w:rsid w:val="00641147"/>
    <w:rsid w:val="006507B0"/>
    <w:rsid w:val="006C70CE"/>
    <w:rsid w:val="006D6689"/>
    <w:rsid w:val="006E04C1"/>
    <w:rsid w:val="007120F4"/>
    <w:rsid w:val="00727A11"/>
    <w:rsid w:val="00730FDB"/>
    <w:rsid w:val="00750EE9"/>
    <w:rsid w:val="00762467"/>
    <w:rsid w:val="00764DC5"/>
    <w:rsid w:val="00832D37"/>
    <w:rsid w:val="00860338"/>
    <w:rsid w:val="00895736"/>
    <w:rsid w:val="008A1E84"/>
    <w:rsid w:val="008C2702"/>
    <w:rsid w:val="008C4EAE"/>
    <w:rsid w:val="008D7F22"/>
    <w:rsid w:val="008E41B3"/>
    <w:rsid w:val="008F06FC"/>
    <w:rsid w:val="008F3ED4"/>
    <w:rsid w:val="008F43CF"/>
    <w:rsid w:val="00937AB2"/>
    <w:rsid w:val="0095485A"/>
    <w:rsid w:val="00973A20"/>
    <w:rsid w:val="00980102"/>
    <w:rsid w:val="00990C9F"/>
    <w:rsid w:val="00993D62"/>
    <w:rsid w:val="009D1093"/>
    <w:rsid w:val="009D70FC"/>
    <w:rsid w:val="009E6D7D"/>
    <w:rsid w:val="00A170F4"/>
    <w:rsid w:val="00A55612"/>
    <w:rsid w:val="00A91A35"/>
    <w:rsid w:val="00AC6373"/>
    <w:rsid w:val="00AD42CA"/>
    <w:rsid w:val="00AD4D53"/>
    <w:rsid w:val="00AF0545"/>
    <w:rsid w:val="00AF61A2"/>
    <w:rsid w:val="00AF72F6"/>
    <w:rsid w:val="00AF78A6"/>
    <w:rsid w:val="00B00B9F"/>
    <w:rsid w:val="00B32DF5"/>
    <w:rsid w:val="00B3791E"/>
    <w:rsid w:val="00B4280B"/>
    <w:rsid w:val="00B43C8B"/>
    <w:rsid w:val="00B63E9B"/>
    <w:rsid w:val="00B73383"/>
    <w:rsid w:val="00BA775A"/>
    <w:rsid w:val="00BE67C3"/>
    <w:rsid w:val="00BF0A33"/>
    <w:rsid w:val="00BF255F"/>
    <w:rsid w:val="00C040F9"/>
    <w:rsid w:val="00C046CA"/>
    <w:rsid w:val="00C12860"/>
    <w:rsid w:val="00C27C1E"/>
    <w:rsid w:val="00C80EEA"/>
    <w:rsid w:val="00CC19B4"/>
    <w:rsid w:val="00D033F3"/>
    <w:rsid w:val="00D13919"/>
    <w:rsid w:val="00D43854"/>
    <w:rsid w:val="00D52C39"/>
    <w:rsid w:val="00D6294D"/>
    <w:rsid w:val="00DA02FC"/>
    <w:rsid w:val="00DB409F"/>
    <w:rsid w:val="00DC529E"/>
    <w:rsid w:val="00DF1397"/>
    <w:rsid w:val="00E04128"/>
    <w:rsid w:val="00E13B0B"/>
    <w:rsid w:val="00E20B25"/>
    <w:rsid w:val="00E216C6"/>
    <w:rsid w:val="00E5171A"/>
    <w:rsid w:val="00E55E98"/>
    <w:rsid w:val="00E71EE1"/>
    <w:rsid w:val="00E87C3A"/>
    <w:rsid w:val="00E96064"/>
    <w:rsid w:val="00EA75DF"/>
    <w:rsid w:val="00EB2131"/>
    <w:rsid w:val="00EC66E3"/>
    <w:rsid w:val="00EE4481"/>
    <w:rsid w:val="00EF271C"/>
    <w:rsid w:val="00F13C2A"/>
    <w:rsid w:val="00F61E93"/>
    <w:rsid w:val="00F7642C"/>
    <w:rsid w:val="00F9584F"/>
    <w:rsid w:val="00FC0895"/>
    <w:rsid w:val="00FD03F8"/>
    <w:rsid w:val="00FD38D0"/>
    <w:rsid w:val="00FD7EC6"/>
    <w:rsid w:val="00FE5DC1"/>
    <w:rsid w:val="00FF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2C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0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6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2C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0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6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Rockwell Automation</Company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M. Manole</dc:creator>
  <cp:lastModifiedBy>Tony Zertuche</cp:lastModifiedBy>
  <cp:revision>2</cp:revision>
  <dcterms:created xsi:type="dcterms:W3CDTF">2015-10-22T14:58:00Z</dcterms:created>
  <dcterms:modified xsi:type="dcterms:W3CDTF">2015-10-22T14:58:00Z</dcterms:modified>
</cp:coreProperties>
</file>